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F2651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F2651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 w:rsidRPr="002C3772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772">
        <w:rPr>
          <w:sz w:val="24"/>
          <w:szCs w:val="24"/>
        </w:rPr>
        <w:t>Омск 2021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2C3772">
        <w:rPr>
          <w:spacing w:val="-3"/>
          <w:sz w:val="24"/>
          <w:szCs w:val="24"/>
          <w:lang w:eastAsia="en-US"/>
        </w:rPr>
        <w:t xml:space="preserve">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2C3772">
        <w:rPr>
          <w:sz w:val="24"/>
          <w:szCs w:val="24"/>
        </w:rPr>
        <w:t>; Ом</w:t>
      </w:r>
      <w:r w:rsidRPr="002C3772">
        <w:rPr>
          <w:sz w:val="24"/>
          <w:szCs w:val="24"/>
        </w:rPr>
        <w:t>ГА):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b/>
          <w:bCs/>
          <w:color w:val="000000"/>
          <w:sz w:val="24"/>
          <w:szCs w:val="24"/>
        </w:rPr>
        <w:t xml:space="preserve"> </w:t>
      </w:r>
      <w:r w:rsidR="00EA2B44" w:rsidRPr="002C3772">
        <w:rPr>
          <w:color w:val="000000"/>
          <w:sz w:val="24"/>
          <w:szCs w:val="24"/>
        </w:rPr>
        <w:t>Б2.О.01 (Пд)</w:t>
      </w:r>
      <w:r w:rsidR="007178AA" w:rsidRPr="002C3772">
        <w:rPr>
          <w:color w:val="000000"/>
          <w:sz w:val="24"/>
          <w:szCs w:val="24"/>
        </w:rPr>
        <w:t xml:space="preserve"> 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2C3772">
        <w:rPr>
          <w:sz w:val="16"/>
          <w:szCs w:val="16"/>
        </w:rPr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 :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справочник / сост. В. Н. Гордиенко. — Саратов : Вузовское образование, 2017. — 83 c. — ISBN  2227-8397. — URL: </w:t>
      </w:r>
      <w:hyperlink r:id="rId9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F2651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4031B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F2651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F2651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F2651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F2651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F2651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2C3772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2C3772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F26511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г.Омск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C377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направления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организационную структуру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>профильной организации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F26511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B44" w:rsidRDefault="00EA2B44" w:rsidP="00160BC1">
      <w:r>
        <w:separator/>
      </w:r>
    </w:p>
  </w:endnote>
  <w:endnote w:type="continuationSeparator" w:id="0">
    <w:p w:rsidR="00EA2B44" w:rsidRDefault="00EA2B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B44" w:rsidRDefault="00EA2B44" w:rsidP="00160BC1">
      <w:r>
        <w:separator/>
      </w:r>
    </w:p>
  </w:footnote>
  <w:footnote w:type="continuationSeparator" w:id="0">
    <w:p w:rsidR="00EA2B44" w:rsidRDefault="00EA2B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1B7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187A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2651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styleId="af9">
    <w:name w:val="Unresolved Mention"/>
    <w:basedOn w:val="a1"/>
    <w:uiPriority w:val="99"/>
    <w:semiHidden/>
    <w:unhideWhenUsed/>
    <w:rsid w:val="0040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69135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2022-03-22T00:21:00Z</dcterms:created>
  <dcterms:modified xsi:type="dcterms:W3CDTF">2022-11-13T14:05:00Z</dcterms:modified>
</cp:coreProperties>
</file>